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80C7" w14:textId="77777777" w:rsidR="00AF14C4" w:rsidRPr="00AF14C4" w:rsidRDefault="00AF14C4" w:rsidP="00AF14C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AF14C4">
        <w:rPr>
          <w:rFonts w:ascii="Lato" w:eastAsia="Times New Roman" w:hAnsi="Lato" w:cs="Times New Roman"/>
          <w:color w:val="CC3300"/>
          <w:kern w:val="36"/>
          <w:sz w:val="36"/>
          <w:szCs w:val="36"/>
          <w:lang w:eastAsia="fr-BE"/>
          <w14:ligatures w14:val="none"/>
        </w:rPr>
        <w:t>Tassement de la croissance de la consommation d’aluminium en Chine</w:t>
      </w:r>
    </w:p>
    <w:p w14:paraId="655A41F0" w14:textId="77777777" w:rsidR="00AF14C4" w:rsidRDefault="00AF14C4" w:rsidP="00AF14C4">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EDDD129" w14:textId="79B9BB7A" w:rsidR="00AF14C4" w:rsidRPr="00AF14C4" w:rsidRDefault="00AF14C4" w:rsidP="00AF14C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14C4">
        <w:rPr>
          <w:rFonts w:ascii="Lato" w:eastAsia="Times New Roman" w:hAnsi="Lato" w:cs="Times New Roman"/>
          <w:b/>
          <w:bCs/>
          <w:color w:val="000000"/>
          <w:kern w:val="0"/>
          <w:sz w:val="23"/>
          <w:szCs w:val="23"/>
          <w:lang w:eastAsia="fr-BE"/>
          <w14:ligatures w14:val="none"/>
        </w:rPr>
        <w:t xml:space="preserve">La consommation d’aluminium en Chine devrait croître à un rythme plus modéré cette année, anticipent les experts du cabinet public chinois </w:t>
      </w:r>
      <w:proofErr w:type="spellStart"/>
      <w:r w:rsidRPr="00AF14C4">
        <w:rPr>
          <w:rFonts w:ascii="Lato" w:eastAsia="Times New Roman" w:hAnsi="Lato" w:cs="Times New Roman"/>
          <w:b/>
          <w:bCs/>
          <w:color w:val="000000"/>
          <w:kern w:val="0"/>
          <w:sz w:val="23"/>
          <w:szCs w:val="23"/>
          <w:lang w:eastAsia="fr-BE"/>
          <w14:ligatures w14:val="none"/>
        </w:rPr>
        <w:t>Antaïke</w:t>
      </w:r>
      <w:proofErr w:type="spellEnd"/>
      <w:r w:rsidRPr="00AF14C4">
        <w:rPr>
          <w:rFonts w:ascii="Lato" w:eastAsia="Times New Roman" w:hAnsi="Lato" w:cs="Times New Roman"/>
          <w:b/>
          <w:bCs/>
          <w:color w:val="000000"/>
          <w:kern w:val="0"/>
          <w:sz w:val="23"/>
          <w:szCs w:val="23"/>
          <w:lang w:eastAsia="fr-BE"/>
          <w14:ligatures w14:val="none"/>
        </w:rPr>
        <w:t>. Le tassement de la croissance de la consommation est dû au ralentissement du secteur de la construction, dans un marché immobilier chinois à la peine.</w:t>
      </w:r>
    </w:p>
    <w:p w14:paraId="1EAE03B7" w14:textId="77777777" w:rsidR="00AF14C4" w:rsidRPr="00AF14C4" w:rsidRDefault="00AF14C4" w:rsidP="00AF14C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14C4">
        <w:rPr>
          <w:rFonts w:ascii="Lato" w:eastAsia="Times New Roman" w:hAnsi="Lato" w:cs="Times New Roman"/>
          <w:color w:val="000000"/>
          <w:kern w:val="0"/>
          <w:sz w:val="23"/>
          <w:szCs w:val="23"/>
          <w:lang w:eastAsia="fr-BE"/>
          <w14:ligatures w14:val="none"/>
        </w:rPr>
        <w:t> </w:t>
      </w:r>
    </w:p>
    <w:p w14:paraId="14D133AA" w14:textId="77777777" w:rsidR="00AF14C4" w:rsidRPr="00AF14C4" w:rsidRDefault="00AF14C4" w:rsidP="00AF14C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14C4">
        <w:rPr>
          <w:rFonts w:ascii="Lato" w:eastAsia="Times New Roman" w:hAnsi="Lato" w:cs="Times New Roman"/>
          <w:color w:val="000000"/>
          <w:kern w:val="0"/>
          <w:sz w:val="23"/>
          <w:szCs w:val="23"/>
          <w:lang w:eastAsia="fr-BE"/>
          <w14:ligatures w14:val="none"/>
        </w:rPr>
        <w:t xml:space="preserve">La consommation chinoise devrait progresser de 1,7% cette année, à 48,67 millions de tonnes, prévoit </w:t>
      </w:r>
      <w:proofErr w:type="spellStart"/>
      <w:r w:rsidRPr="00AF14C4">
        <w:rPr>
          <w:rFonts w:ascii="Lato" w:eastAsia="Times New Roman" w:hAnsi="Lato" w:cs="Times New Roman"/>
          <w:color w:val="000000"/>
          <w:kern w:val="0"/>
          <w:sz w:val="23"/>
          <w:szCs w:val="23"/>
          <w:lang w:eastAsia="fr-BE"/>
          <w14:ligatures w14:val="none"/>
        </w:rPr>
        <w:t>Antaïke</w:t>
      </w:r>
      <w:proofErr w:type="spellEnd"/>
      <w:r w:rsidRPr="00AF14C4">
        <w:rPr>
          <w:rFonts w:ascii="Lato" w:eastAsia="Times New Roman" w:hAnsi="Lato" w:cs="Times New Roman"/>
          <w:color w:val="000000"/>
          <w:kern w:val="0"/>
          <w:sz w:val="23"/>
          <w:szCs w:val="23"/>
          <w:lang w:eastAsia="fr-BE"/>
          <w14:ligatures w14:val="none"/>
        </w:rPr>
        <w:t>. En 2023, la consommation avait crû de 7,6%, au niveau record de 47,86 millions de tonnes. Elle avait été portée par la croissance des secteurs de la construction et des énergies renouvelables, qui avait plus que compensé le recul de la demande à l’exportation.</w:t>
      </w:r>
    </w:p>
    <w:p w14:paraId="38B7AC5E" w14:textId="77777777" w:rsidR="00AF14C4" w:rsidRPr="00AF14C4" w:rsidRDefault="00AF14C4" w:rsidP="00AF14C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AF14C4">
        <w:rPr>
          <w:rFonts w:ascii="Lato" w:eastAsia="Times New Roman" w:hAnsi="Lato" w:cs="Times New Roman"/>
          <w:color w:val="000000"/>
          <w:kern w:val="0"/>
          <w:sz w:val="23"/>
          <w:szCs w:val="23"/>
          <w:lang w:eastAsia="fr-BE"/>
          <w14:ligatures w14:val="none"/>
        </w:rPr>
        <w:t xml:space="preserve">Le nombre de logements neufs avait progressé de 17% en 2023, selon le Bureau national des statistiques. La construction est le premier secteur de consommation de l’aluminium en Chine. Ce dernier devrait se contracter cette année et entraîner une baisse de la demande d’aluminium de 2,5%, à 15,20 millions de tonnes. La demande en aluminium du secteur des énergies renouvelables (véhicules électriques, énergie solaire et batteries au lithium) sera le principal moteur de croissance : </w:t>
      </w:r>
      <w:proofErr w:type="spellStart"/>
      <w:r w:rsidRPr="00AF14C4">
        <w:rPr>
          <w:rFonts w:ascii="Lato" w:eastAsia="Times New Roman" w:hAnsi="Lato" w:cs="Times New Roman"/>
          <w:color w:val="000000"/>
          <w:kern w:val="0"/>
          <w:sz w:val="23"/>
          <w:szCs w:val="23"/>
          <w:lang w:eastAsia="fr-BE"/>
          <w14:ligatures w14:val="none"/>
        </w:rPr>
        <w:t>Antaïke</w:t>
      </w:r>
      <w:proofErr w:type="spellEnd"/>
      <w:r w:rsidRPr="00AF14C4">
        <w:rPr>
          <w:rFonts w:ascii="Lato" w:eastAsia="Times New Roman" w:hAnsi="Lato" w:cs="Times New Roman"/>
          <w:color w:val="000000"/>
          <w:kern w:val="0"/>
          <w:sz w:val="23"/>
          <w:szCs w:val="23"/>
          <w:lang w:eastAsia="fr-BE"/>
          <w14:ligatures w14:val="none"/>
        </w:rPr>
        <w:t xml:space="preserve"> table, pour ce dernier, sur une progression de 26% cette année, à 7,34 millions de tonnes.</w:t>
      </w:r>
    </w:p>
    <w:p w14:paraId="760AE9E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C4"/>
    <w:rsid w:val="00287462"/>
    <w:rsid w:val="00AF14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DF7E"/>
  <w15:chartTrackingRefBased/>
  <w15:docId w15:val="{C11B0068-A02F-4B43-A87E-3D9D0AFF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1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1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14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14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14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14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14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14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14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14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14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14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14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14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14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14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14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14C4"/>
    <w:rPr>
      <w:rFonts w:eastAsiaTheme="majorEastAsia" w:cstheme="majorBidi"/>
      <w:color w:val="272727" w:themeColor="text1" w:themeTint="D8"/>
    </w:rPr>
  </w:style>
  <w:style w:type="paragraph" w:styleId="Titre">
    <w:name w:val="Title"/>
    <w:basedOn w:val="Normal"/>
    <w:next w:val="Normal"/>
    <w:link w:val="TitreCar"/>
    <w:uiPriority w:val="10"/>
    <w:qFormat/>
    <w:rsid w:val="00AF1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14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14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14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14C4"/>
    <w:pPr>
      <w:spacing w:before="160"/>
      <w:jc w:val="center"/>
    </w:pPr>
    <w:rPr>
      <w:i/>
      <w:iCs/>
      <w:color w:val="404040" w:themeColor="text1" w:themeTint="BF"/>
    </w:rPr>
  </w:style>
  <w:style w:type="character" w:customStyle="1" w:styleId="CitationCar">
    <w:name w:val="Citation Car"/>
    <w:basedOn w:val="Policepardfaut"/>
    <w:link w:val="Citation"/>
    <w:uiPriority w:val="29"/>
    <w:rsid w:val="00AF14C4"/>
    <w:rPr>
      <w:i/>
      <w:iCs/>
      <w:color w:val="404040" w:themeColor="text1" w:themeTint="BF"/>
    </w:rPr>
  </w:style>
  <w:style w:type="paragraph" w:styleId="Paragraphedeliste">
    <w:name w:val="List Paragraph"/>
    <w:basedOn w:val="Normal"/>
    <w:uiPriority w:val="34"/>
    <w:qFormat/>
    <w:rsid w:val="00AF14C4"/>
    <w:pPr>
      <w:ind w:left="720"/>
      <w:contextualSpacing/>
    </w:pPr>
  </w:style>
  <w:style w:type="character" w:styleId="Accentuationintense">
    <w:name w:val="Intense Emphasis"/>
    <w:basedOn w:val="Policepardfaut"/>
    <w:uiPriority w:val="21"/>
    <w:qFormat/>
    <w:rsid w:val="00AF14C4"/>
    <w:rPr>
      <w:i/>
      <w:iCs/>
      <w:color w:val="0F4761" w:themeColor="accent1" w:themeShade="BF"/>
    </w:rPr>
  </w:style>
  <w:style w:type="paragraph" w:styleId="Citationintense">
    <w:name w:val="Intense Quote"/>
    <w:basedOn w:val="Normal"/>
    <w:next w:val="Normal"/>
    <w:link w:val="CitationintenseCar"/>
    <w:uiPriority w:val="30"/>
    <w:qFormat/>
    <w:rsid w:val="00AF1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14C4"/>
    <w:rPr>
      <w:i/>
      <w:iCs/>
      <w:color w:val="0F4761" w:themeColor="accent1" w:themeShade="BF"/>
    </w:rPr>
  </w:style>
  <w:style w:type="character" w:styleId="Rfrenceintense">
    <w:name w:val="Intense Reference"/>
    <w:basedOn w:val="Policepardfaut"/>
    <w:uiPriority w:val="32"/>
    <w:qFormat/>
    <w:rsid w:val="00AF1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5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1121</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2024-03-04T09:48:00Z</dcterms:created>
  <dcterms:modified xsi:type="dcterms:W3CDTF">2024-03-04T09:48:00Z</dcterms:modified>
</cp:coreProperties>
</file>